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Preparai questo canto per una festa dei catechisti in Ancash. Non ero convito di presentarlo, perché mi sembrava poco adatto alla situazione. Alla fine mi convinsero e fu molto apprezzato.</w:t>
      </w:r>
    </w:p>
    <w:p w:rsidR="00000000" w:rsidDel="00000000" w:rsidP="00000000" w:rsidRDefault="00000000" w:rsidRPr="00000000" w14:paraId="0000000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Lo usarono anche come inno di una serie di raccolte viveri che fecero qualche anno fa in Emilia Romagna. </w:t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i w:val="1"/>
          <w:rtl w:val="0"/>
        </w:rPr>
        <w:t xml:space="preserve">Il senso del canto è racchiuso nel ritornello: molte volte la felicità non viene dai soldi, dal successo, dalle cose materiali, ma dal regalare.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